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23" w:rsidRPr="006E0D23" w:rsidRDefault="006E0D23" w:rsidP="006E0D23">
      <w:pPr>
        <w:jc w:val="both"/>
        <w:rPr>
          <w:rFonts w:ascii="Times New Roman" w:hAnsi="Times New Roman" w:cs="Times New Roman"/>
          <w:b/>
        </w:rPr>
      </w:pPr>
      <w:r w:rsidRPr="006E0D23">
        <w:rPr>
          <w:rFonts w:ascii="Times New Roman" w:hAnsi="Times New Roman" w:cs="Times New Roman"/>
          <w:b/>
        </w:rPr>
        <w:t>Вопросы для самоконтроля по Разделу 5</w:t>
      </w:r>
    </w:p>
    <w:p w:rsidR="006E0D23" w:rsidRPr="006E0D23" w:rsidRDefault="006E0D23" w:rsidP="006E0D2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6E0D23">
        <w:rPr>
          <w:rFonts w:ascii="Times New Roman" w:hAnsi="Times New Roman" w:cs="Times New Roman"/>
          <w:b/>
        </w:rPr>
        <w:t>В чем разница между долевым и долговым финансированием фирмы? Какой способ более предпочтителен?</w:t>
      </w:r>
    </w:p>
    <w:p w:rsidR="00EE4E5F" w:rsidRPr="00EE4E5F" w:rsidRDefault="00F95F58" w:rsidP="00EE4E5F">
      <w:pPr>
        <w:pStyle w:val="a3"/>
        <w:ind w:left="284"/>
        <w:jc w:val="both"/>
        <w:rPr>
          <w:rFonts w:ascii="Times New Roman" w:hAnsi="Times New Roman" w:cs="Times New Roman"/>
        </w:rPr>
      </w:pPr>
      <w:r w:rsidRPr="00F95F58">
        <w:rPr>
          <w:rFonts w:ascii="Times New Roman" w:hAnsi="Times New Roman" w:cs="Times New Roman"/>
        </w:rPr>
        <w:t>К долговым (заемным) инструментами относятся банковские кредиты, облигации, коммерческие бумаги или векселя, а также проектное финансирование</w:t>
      </w:r>
      <w:proofErr w:type="gramStart"/>
      <w:r w:rsidRPr="00F95F58">
        <w:rPr>
          <w:rFonts w:ascii="Times New Roman" w:hAnsi="Times New Roman" w:cs="Times New Roman"/>
        </w:rPr>
        <w:t>.</w:t>
      </w:r>
      <w:proofErr w:type="gramEnd"/>
      <w:r w:rsidR="00EE4E5F">
        <w:rPr>
          <w:rFonts w:ascii="Times New Roman" w:hAnsi="Times New Roman" w:cs="Times New Roman"/>
        </w:rPr>
        <w:t xml:space="preserve"> Д</w:t>
      </w:r>
      <w:r w:rsidR="00EE4E5F" w:rsidRPr="00EE4E5F">
        <w:rPr>
          <w:rFonts w:ascii="Times New Roman" w:hAnsi="Times New Roman" w:cs="Times New Roman"/>
        </w:rPr>
        <w:t xml:space="preserve">ля привлечения долевого капитала компании традиционно выпускают обыкновенные акции и, чуть реже, привилегированные акции и варранты. </w:t>
      </w:r>
    </w:p>
    <w:p w:rsidR="006E0D23" w:rsidRPr="00EE4E5F" w:rsidRDefault="00EE4E5F" w:rsidP="00EE4E5F">
      <w:pPr>
        <w:pStyle w:val="a3"/>
        <w:ind w:left="284"/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Главное различие между долговым и долевым капиталом состоит в характере прав на денежные потоки компании.</w:t>
      </w:r>
    </w:p>
    <w:p w:rsidR="006E0D23" w:rsidRPr="00EE4E5F" w:rsidRDefault="006E0D23" w:rsidP="00EE4E5F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EE4E5F">
        <w:rPr>
          <w:rFonts w:ascii="Times New Roman" w:hAnsi="Times New Roman" w:cs="Times New Roman"/>
          <w:b/>
        </w:rPr>
        <w:t xml:space="preserve">Какие ценные бумаги относятся к </w:t>
      </w:r>
      <w:proofErr w:type="gramStart"/>
      <w:r w:rsidRPr="00EE4E5F">
        <w:rPr>
          <w:rFonts w:ascii="Times New Roman" w:hAnsi="Times New Roman" w:cs="Times New Roman"/>
          <w:b/>
        </w:rPr>
        <w:t>эмиссионным</w:t>
      </w:r>
      <w:proofErr w:type="gramEnd"/>
      <w:r w:rsidRPr="00EE4E5F">
        <w:rPr>
          <w:rFonts w:ascii="Times New Roman" w:hAnsi="Times New Roman" w:cs="Times New Roman"/>
          <w:b/>
        </w:rPr>
        <w:t>?</w:t>
      </w:r>
    </w:p>
    <w:p w:rsidR="00962B16" w:rsidRPr="00962B16" w:rsidRDefault="00EE4E5F" w:rsidP="00962B16">
      <w:pPr>
        <w:pStyle w:val="a3"/>
        <w:ind w:left="284"/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К эмисси</w:t>
      </w:r>
      <w:r>
        <w:rPr>
          <w:rFonts w:ascii="Times New Roman" w:hAnsi="Times New Roman" w:cs="Times New Roman"/>
        </w:rPr>
        <w:t>онным ценным бумагам относятся:</w:t>
      </w:r>
    </w:p>
    <w:p w:rsidR="00EE4E5F" w:rsidRPr="00EE4E5F" w:rsidRDefault="00EE4E5F" w:rsidP="00EE4E5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акции;</w:t>
      </w:r>
    </w:p>
    <w:p w:rsidR="00EE4E5F" w:rsidRPr="00EE4E5F" w:rsidRDefault="00EE4E5F" w:rsidP="00EE4E5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облигации;</w:t>
      </w:r>
    </w:p>
    <w:p w:rsidR="00EE4E5F" w:rsidRPr="00EE4E5F" w:rsidRDefault="00EE4E5F" w:rsidP="00EE4E5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опцион эмитента;</w:t>
      </w:r>
    </w:p>
    <w:p w:rsidR="00EE4E5F" w:rsidRPr="00EE4E5F" w:rsidRDefault="00EE4E5F" w:rsidP="00EE4E5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E4E5F">
        <w:rPr>
          <w:rFonts w:ascii="Times New Roman" w:hAnsi="Times New Roman" w:cs="Times New Roman"/>
        </w:rPr>
        <w:t>депозитарные расписки.</w:t>
      </w:r>
    </w:p>
    <w:p w:rsidR="006E0D23" w:rsidRPr="00962B16" w:rsidRDefault="006E0D23" w:rsidP="00962B16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962B16">
        <w:rPr>
          <w:rFonts w:ascii="Times New Roman" w:hAnsi="Times New Roman" w:cs="Times New Roman"/>
          <w:b/>
        </w:rPr>
        <w:t>Дайте сравнительную характеристику достоинств и недостатков эмиссии акций и облигаций.</w:t>
      </w:r>
    </w:p>
    <w:p w:rsidR="00857B72" w:rsidRPr="00857B72" w:rsidRDefault="00857B72" w:rsidP="00857B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57B72">
        <w:rPr>
          <w:rFonts w:ascii="Times New Roman" w:hAnsi="Times New Roman" w:cs="Times New Roman"/>
        </w:rPr>
        <w:t>Акция позволяет участвовать в управлении компанией, облигация такой возможности не дает;</w:t>
      </w:r>
    </w:p>
    <w:p w:rsidR="00857B72" w:rsidRPr="00857B72" w:rsidRDefault="00857B72" w:rsidP="00857B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57B72">
        <w:rPr>
          <w:rFonts w:ascii="Times New Roman" w:hAnsi="Times New Roman" w:cs="Times New Roman"/>
        </w:rPr>
        <w:t>Дивиденды по акциям всегда выше, чем проценты по облигациям;</w:t>
      </w:r>
    </w:p>
    <w:p w:rsidR="00962B16" w:rsidRPr="00962B16" w:rsidRDefault="00857B72" w:rsidP="00857B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57B72">
        <w:rPr>
          <w:rFonts w:ascii="Times New Roman" w:hAnsi="Times New Roman" w:cs="Times New Roman"/>
        </w:rPr>
        <w:t xml:space="preserve">При банкротстве компании сначала удовлетворяются интересы держателей облигаций, а затем уже владельцев акций, при условии, что на это останутся денежные средства либо имущество. </w:t>
      </w:r>
    </w:p>
    <w:p w:rsidR="006E0D23" w:rsidRPr="00493FAA" w:rsidRDefault="006E0D23" w:rsidP="00493FAA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493FAA">
        <w:rPr>
          <w:rFonts w:ascii="Times New Roman" w:hAnsi="Times New Roman" w:cs="Times New Roman"/>
          <w:b/>
        </w:rPr>
        <w:t>Что такое проспект эмиссии ценных бумаг, и какие сведения он должен содержать?</w:t>
      </w:r>
    </w:p>
    <w:p w:rsidR="00493FAA" w:rsidRPr="00493FAA" w:rsidRDefault="00493FAA" w:rsidP="00493FAA">
      <w:pPr>
        <w:pStyle w:val="a3"/>
        <w:ind w:left="284"/>
        <w:jc w:val="both"/>
        <w:rPr>
          <w:rFonts w:ascii="Times New Roman" w:hAnsi="Times New Roman" w:cs="Times New Roman"/>
        </w:rPr>
      </w:pPr>
      <w:r w:rsidRPr="00493FAA">
        <w:rPr>
          <w:rFonts w:ascii="Times New Roman" w:hAnsi="Times New Roman" w:cs="Times New Roman"/>
        </w:rPr>
        <w:t>Проспект эмиссии - официальный юридический документ, содержащий основную информацию о выпуске ценных бумаг.</w:t>
      </w:r>
    </w:p>
    <w:p w:rsidR="00493FAA" w:rsidRPr="00493FAA" w:rsidRDefault="00493FAA" w:rsidP="00493FAA">
      <w:pPr>
        <w:pStyle w:val="a3"/>
        <w:ind w:left="284"/>
        <w:jc w:val="both"/>
        <w:rPr>
          <w:rFonts w:ascii="Times New Roman" w:hAnsi="Times New Roman" w:cs="Times New Roman"/>
        </w:rPr>
      </w:pPr>
      <w:r w:rsidRPr="00493FAA">
        <w:rPr>
          <w:rFonts w:ascii="Times New Roman" w:hAnsi="Times New Roman" w:cs="Times New Roman"/>
        </w:rPr>
        <w:t xml:space="preserve">В проспекте описывается план предполагаемого делового предприятия и информация об эмитенте. Проспект адресуется потенциальным инвесторам для принятия инвестиционного решения. </w:t>
      </w:r>
    </w:p>
    <w:p w:rsidR="006E0D23" w:rsidRPr="00493FAA" w:rsidRDefault="006E0D23" w:rsidP="00493FAA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493FAA">
        <w:rPr>
          <w:rFonts w:ascii="Times New Roman" w:hAnsi="Times New Roman" w:cs="Times New Roman"/>
          <w:b/>
        </w:rPr>
        <w:t>Какие документы должна предоставить фирма-заемщик в банк для получения кредита?</w:t>
      </w:r>
    </w:p>
    <w:p w:rsidR="00493FAA" w:rsidRPr="00493FAA" w:rsidRDefault="00493FAA" w:rsidP="00493FAA">
      <w:pPr>
        <w:pStyle w:val="a3"/>
        <w:ind w:left="284"/>
        <w:jc w:val="both"/>
        <w:rPr>
          <w:rFonts w:ascii="Times New Roman" w:hAnsi="Times New Roman" w:cs="Times New Roman"/>
        </w:rPr>
      </w:pPr>
      <w:r w:rsidRPr="00493FAA">
        <w:rPr>
          <w:rFonts w:ascii="Times New Roman" w:hAnsi="Times New Roman" w:cs="Times New Roman"/>
        </w:rPr>
        <w:t>Полный пакет документов можно условно разделить на три части: учредительные документы, бухгалтерская и финансовая отчетность, общая информация по бизнесу.</w:t>
      </w:r>
    </w:p>
    <w:p w:rsidR="006E0D23" w:rsidRPr="000F7CDD" w:rsidRDefault="006E0D23" w:rsidP="000F7CDD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0F7CDD">
        <w:rPr>
          <w:rFonts w:ascii="Times New Roman" w:hAnsi="Times New Roman" w:cs="Times New Roman"/>
          <w:b/>
        </w:rPr>
        <w:t>Из каких этапов состоит кредитный процесс в банке?</w:t>
      </w:r>
    </w:p>
    <w:p w:rsidR="000F7CDD" w:rsidRPr="000F7CDD" w:rsidRDefault="000F7CDD" w:rsidP="000F7CDD">
      <w:pPr>
        <w:pStyle w:val="a3"/>
        <w:ind w:left="284"/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Кредитование условно можно разделить на несколько этапов, на каждом из которых уточняются характеристики ссуды, способы ее выдачи и погашения: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рассмотрение кредитной заявки и собеседование с клиентом;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изучение кредитоспособности клиента;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подготовка и заключение кредитного договора, выдача кредита;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формирование резерва на возможные потери по ссудам;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контроль банка за выполнением условий договора и погашением кредита (сопровождение кредита);</w:t>
      </w:r>
    </w:p>
    <w:p w:rsidR="000F7CDD" w:rsidRPr="000F7CDD" w:rsidRDefault="000F7CDD" w:rsidP="000F7C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F7CDD">
        <w:rPr>
          <w:rFonts w:ascii="Times New Roman" w:hAnsi="Times New Roman" w:cs="Times New Roman"/>
        </w:rPr>
        <w:t>работа банка с проблемными ссудами.</w:t>
      </w:r>
    </w:p>
    <w:p w:rsidR="006E0D23" w:rsidRPr="000F7CDD" w:rsidRDefault="006E0D23" w:rsidP="000F7CDD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0F7CDD">
        <w:rPr>
          <w:rFonts w:ascii="Times New Roman" w:hAnsi="Times New Roman" w:cs="Times New Roman"/>
          <w:b/>
        </w:rPr>
        <w:t>Какие вы знаете схемы погашения кредита?</w:t>
      </w:r>
    </w:p>
    <w:p w:rsidR="000F7CDD" w:rsidRDefault="000F7CDD" w:rsidP="000F7C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Единовременный возврат кредита в конце срока кредитования с периодической уплатой процентов.</w:t>
      </w:r>
    </w:p>
    <w:p w:rsidR="000F7CDD" w:rsidRDefault="000F7CDD" w:rsidP="000F7C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Периодические - возврат кредита (основной суммы долга) и уплата процентных платежей.</w:t>
      </w:r>
    </w:p>
    <w:p w:rsidR="000F7CDD" w:rsidRPr="000F7CDD" w:rsidRDefault="00D53C36" w:rsidP="000F7C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Погашение кредита и процентов аннуитетами (равными срочными уплатами).</w:t>
      </w:r>
    </w:p>
    <w:p w:rsidR="006E0D23" w:rsidRPr="00D53C36" w:rsidRDefault="006E0D23" w:rsidP="00D53C36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D53C36">
        <w:rPr>
          <w:rFonts w:ascii="Times New Roman" w:hAnsi="Times New Roman" w:cs="Times New Roman"/>
          <w:b/>
        </w:rPr>
        <w:t>Какие факторы влияют на размер процентной ставки? Какие способы начисления и погашения процентов вам известны?</w:t>
      </w:r>
    </w:p>
    <w:p w:rsidR="00D53C36" w:rsidRPr="00D53C36" w:rsidRDefault="00D53C36" w:rsidP="00D53C36">
      <w:pPr>
        <w:pStyle w:val="a3"/>
        <w:ind w:left="284"/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lastRenderedPageBreak/>
        <w:t>На размер процентной ставки оказывают влияние следующие факторы: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базовые ставки процента по кредитам, предоставляемым Банком России;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соотношение спроса и предложения кредитных (заемных) средств;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состояние денежного обращения в стране (рост инфляции приводит к увеличению процентной ставки);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средняя процентная ставка, уплачиваемая банком своим клиентам по депозитным счетам различного вида;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структура кредитных ресурсов банка (чем выше доля привлеченных средств, тем дороже будет стоить кредит);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объем, цель и срок погашения кредита;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степень и форма обеспечения кредита;</w:t>
      </w:r>
    </w:p>
    <w:p w:rsidR="00D53C36" w:rsidRP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кредитоспособность (финансовое состояние и репутация) заемщика;</w:t>
      </w:r>
    </w:p>
    <w:p w:rsidR="00D53C36" w:rsidRDefault="00D53C36" w:rsidP="00D53C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отношение заемщика к банку-кредитору (учредитель, акционер, клиент, сторонняя фирма, дочерняя или зависимая фирма) и др.</w:t>
      </w:r>
    </w:p>
    <w:p w:rsidR="00D53C36" w:rsidRPr="00D53C36" w:rsidRDefault="00D53C36" w:rsidP="00D53C36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D53C36">
        <w:rPr>
          <w:rFonts w:ascii="Times New Roman" w:hAnsi="Times New Roman" w:cs="Times New Roman"/>
        </w:rPr>
        <w:t>етоды начисления процентов:</w:t>
      </w:r>
    </w:p>
    <w:p w:rsidR="00D53C36" w:rsidRPr="00D53C36" w:rsidRDefault="00D53C36" w:rsidP="00D53C3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по простым процентным ставкам;</w:t>
      </w:r>
    </w:p>
    <w:p w:rsidR="00D53C36" w:rsidRPr="00D53C36" w:rsidRDefault="00D53C36" w:rsidP="00D53C3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по сложным процентным ставкам.</w:t>
      </w:r>
    </w:p>
    <w:p w:rsidR="006E0D23" w:rsidRPr="00D53C36" w:rsidRDefault="006E0D23" w:rsidP="00D53C36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D53C36">
        <w:rPr>
          <w:rFonts w:ascii="Times New Roman" w:hAnsi="Times New Roman" w:cs="Times New Roman"/>
          <w:b/>
        </w:rPr>
        <w:t>Охарактеризуйте сущность факторинга. Кто имеет право осуществлять данные операции?</w:t>
      </w:r>
    </w:p>
    <w:p w:rsidR="00D53C36" w:rsidRDefault="00D53C36" w:rsidP="00D53C36">
      <w:pPr>
        <w:pStyle w:val="a3"/>
        <w:tabs>
          <w:tab w:val="left" w:pos="426"/>
        </w:tabs>
        <w:ind w:left="284"/>
        <w:jc w:val="both"/>
        <w:rPr>
          <w:rFonts w:ascii="Times New Roman" w:hAnsi="Times New Roman" w:cs="Times New Roman"/>
        </w:rPr>
      </w:pPr>
      <w:r w:rsidRPr="00D53C36">
        <w:rPr>
          <w:rFonts w:ascii="Times New Roman" w:hAnsi="Times New Roman" w:cs="Times New Roman"/>
        </w:rPr>
        <w:t>Согласно требованиям Гражданского кодекса РФ (ст.825 ГК РФ) круг лиц, которые по договору факторинга могут выступать в качестве финансовых агентов, ограничен. Ими могут быть только банки и иные кредитные организации. Что же касается других коммерческих организаций, то им нужны лицензии на осуществление такого рода деятельности. Однако закон не предусматривает основание и процедуру лицензирования. Для кредитных организаций разрешение на факторинг не нужно, поскольку последний является сделкой, а на совершение сделок кредитным организациям лицензия не нужна.</w:t>
      </w:r>
    </w:p>
    <w:p w:rsidR="00D53C36" w:rsidRDefault="00D53C36" w:rsidP="00D53C36">
      <w:pPr>
        <w:pStyle w:val="a3"/>
        <w:tabs>
          <w:tab w:val="left" w:pos="426"/>
        </w:tabs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Pr="00D53C36">
        <w:rPr>
          <w:rFonts w:ascii="Times New Roman" w:hAnsi="Times New Roman" w:cs="Times New Roman"/>
        </w:rPr>
        <w:t xml:space="preserve">а рынке существует два типа </w:t>
      </w:r>
      <w:proofErr w:type="spellStart"/>
      <w:r w:rsidRPr="00D53C36">
        <w:rPr>
          <w:rFonts w:ascii="Times New Roman" w:hAnsi="Times New Roman" w:cs="Times New Roman"/>
        </w:rPr>
        <w:t>факторинговых</w:t>
      </w:r>
      <w:proofErr w:type="spellEnd"/>
      <w:r w:rsidRPr="00D53C36">
        <w:rPr>
          <w:rFonts w:ascii="Times New Roman" w:hAnsi="Times New Roman" w:cs="Times New Roman"/>
        </w:rPr>
        <w:t xml:space="preserve"> организаций: специализированные </w:t>
      </w:r>
      <w:proofErr w:type="spellStart"/>
      <w:r w:rsidRPr="00D53C36">
        <w:rPr>
          <w:rFonts w:ascii="Times New Roman" w:hAnsi="Times New Roman" w:cs="Times New Roman"/>
        </w:rPr>
        <w:t>факторинговые</w:t>
      </w:r>
      <w:proofErr w:type="spellEnd"/>
      <w:r w:rsidRPr="00D53C36">
        <w:rPr>
          <w:rFonts w:ascii="Times New Roman" w:hAnsi="Times New Roman" w:cs="Times New Roman"/>
        </w:rPr>
        <w:t xml:space="preserve"> компании (часть из которых формально имеют банковскую лицензию) и банки, выделившие департаменты (иные структурные подразделения) факторинга.</w:t>
      </w:r>
    </w:p>
    <w:p w:rsidR="00F45ACB" w:rsidRPr="00D53C36" w:rsidRDefault="00F45ACB" w:rsidP="00D53C36">
      <w:pPr>
        <w:pStyle w:val="a3"/>
        <w:tabs>
          <w:tab w:val="left" w:pos="426"/>
        </w:tabs>
        <w:ind w:left="284"/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Применительно к деятельности банков под факторингом понимается покупка ими срочных платежных требований, возникающих из поставки товаров (выполнения работ, оказания услуг), в том числе прав требования возврата выданных кредитов. С правовой точки зрения факторинг, как уже показано, представляет собой сделку, означающую уступку прав требования, с финансово-экономической точки зрения – финансирование клиентов под уступку ими своих денежных требований к должникам (счетов-фактур).</w:t>
      </w:r>
    </w:p>
    <w:p w:rsidR="006E0D23" w:rsidRPr="00D53C36" w:rsidRDefault="006E0D23" w:rsidP="00D53C36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D53C36">
        <w:rPr>
          <w:rFonts w:ascii="Times New Roman" w:hAnsi="Times New Roman" w:cs="Times New Roman"/>
          <w:b/>
        </w:rPr>
        <w:t>Какие существуют виды факторинга?</w:t>
      </w:r>
    </w:p>
    <w:p w:rsidR="00D53C36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конвенционный, или широкий</w:t>
      </w:r>
      <w:r>
        <w:rPr>
          <w:rFonts w:ascii="Times New Roman" w:hAnsi="Times New Roman" w:cs="Times New Roman"/>
        </w:rPr>
        <w:t>;</w:t>
      </w:r>
    </w:p>
    <w:p w:rsidR="00F45ACB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открытый</w:t>
      </w:r>
      <w:r>
        <w:rPr>
          <w:rFonts w:ascii="Times New Roman" w:hAnsi="Times New Roman" w:cs="Times New Roman"/>
        </w:rPr>
        <w:t>;</w:t>
      </w:r>
    </w:p>
    <w:p w:rsidR="00F45ACB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с правом регресса</w:t>
      </w:r>
      <w:r>
        <w:rPr>
          <w:rFonts w:ascii="Times New Roman" w:hAnsi="Times New Roman" w:cs="Times New Roman"/>
        </w:rPr>
        <w:t>;</w:t>
      </w:r>
    </w:p>
    <w:p w:rsidR="00F45ACB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без права регресса</w:t>
      </w:r>
      <w:r>
        <w:rPr>
          <w:rFonts w:ascii="Times New Roman" w:hAnsi="Times New Roman" w:cs="Times New Roman"/>
        </w:rPr>
        <w:t>;</w:t>
      </w:r>
    </w:p>
    <w:p w:rsidR="00F45ACB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с дроблением суммы</w:t>
      </w:r>
      <w:r>
        <w:rPr>
          <w:rFonts w:ascii="Times New Roman" w:hAnsi="Times New Roman" w:cs="Times New Roman"/>
        </w:rPr>
        <w:t>;</w:t>
      </w:r>
    </w:p>
    <w:p w:rsidR="00F45ACB" w:rsidRPr="00D53C36" w:rsidRDefault="00F45ACB" w:rsidP="00F45AC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45ACB">
        <w:rPr>
          <w:rFonts w:ascii="Times New Roman" w:hAnsi="Times New Roman" w:cs="Times New Roman"/>
        </w:rPr>
        <w:t>без дробления</w:t>
      </w:r>
      <w:r>
        <w:rPr>
          <w:rFonts w:ascii="Times New Roman" w:hAnsi="Times New Roman" w:cs="Times New Roman"/>
        </w:rPr>
        <w:t xml:space="preserve"> суммы</w:t>
      </w:r>
    </w:p>
    <w:p w:rsidR="006E0D23" w:rsidRPr="00123012" w:rsidRDefault="006E0D23" w:rsidP="00123012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23012">
        <w:rPr>
          <w:rFonts w:ascii="Times New Roman" w:hAnsi="Times New Roman" w:cs="Times New Roman"/>
          <w:b/>
        </w:rPr>
        <w:t xml:space="preserve">Какие факторы влияют на размер платы за </w:t>
      </w:r>
      <w:proofErr w:type="spellStart"/>
      <w:r w:rsidRPr="00123012">
        <w:rPr>
          <w:rFonts w:ascii="Times New Roman" w:hAnsi="Times New Roman" w:cs="Times New Roman"/>
          <w:b/>
        </w:rPr>
        <w:t>факторинговый</w:t>
      </w:r>
      <w:proofErr w:type="spellEnd"/>
      <w:r w:rsidRPr="00123012">
        <w:rPr>
          <w:rFonts w:ascii="Times New Roman" w:hAnsi="Times New Roman" w:cs="Times New Roman"/>
          <w:b/>
        </w:rPr>
        <w:t xml:space="preserve"> кредит?</w:t>
      </w:r>
    </w:p>
    <w:p w:rsidR="00123012" w:rsidRPr="00123012" w:rsidRDefault="00123012" w:rsidP="00123012">
      <w:pPr>
        <w:pStyle w:val="a3"/>
        <w:ind w:left="284"/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 xml:space="preserve">Стоимость </w:t>
      </w:r>
      <w:proofErr w:type="spellStart"/>
      <w:r w:rsidRPr="00123012">
        <w:rPr>
          <w:rFonts w:ascii="Times New Roman" w:hAnsi="Times New Roman" w:cs="Times New Roman"/>
        </w:rPr>
        <w:t>факторинговой</w:t>
      </w:r>
      <w:proofErr w:type="spellEnd"/>
      <w:r w:rsidRPr="00123012">
        <w:rPr>
          <w:rFonts w:ascii="Times New Roman" w:hAnsi="Times New Roman" w:cs="Times New Roman"/>
        </w:rPr>
        <w:t xml:space="preserve"> услуги складывается из двух элементов: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комиссионного вознаграждения</w:t>
      </w:r>
    </w:p>
    <w:p w:rsid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процентов за кредит (часть комиссионного вознаграждения за предоставление денежных ресурсов).</w:t>
      </w:r>
    </w:p>
    <w:p w:rsidR="00123012" w:rsidRPr="00123012" w:rsidRDefault="00123012" w:rsidP="00123012">
      <w:pPr>
        <w:ind w:left="284"/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 xml:space="preserve">На стоимость </w:t>
      </w:r>
      <w:proofErr w:type="spellStart"/>
      <w:r w:rsidRPr="00123012">
        <w:rPr>
          <w:rFonts w:ascii="Times New Roman" w:hAnsi="Times New Roman" w:cs="Times New Roman"/>
        </w:rPr>
        <w:t>факторингового</w:t>
      </w:r>
      <w:proofErr w:type="spellEnd"/>
      <w:r w:rsidRPr="00123012">
        <w:rPr>
          <w:rFonts w:ascii="Times New Roman" w:hAnsi="Times New Roman" w:cs="Times New Roman"/>
        </w:rPr>
        <w:t xml:space="preserve"> обслуживания влияют: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lastRenderedPageBreak/>
        <w:t>объем уступаемой задолженности;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количество дебиторов;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срок отсрочки платежа;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вид соглашения (</w:t>
      </w:r>
      <w:proofErr w:type="gramStart"/>
      <w:r w:rsidRPr="00123012">
        <w:rPr>
          <w:rFonts w:ascii="Times New Roman" w:hAnsi="Times New Roman" w:cs="Times New Roman"/>
        </w:rPr>
        <w:t>регрессное</w:t>
      </w:r>
      <w:proofErr w:type="gramEnd"/>
      <w:r w:rsidRPr="00123012">
        <w:rPr>
          <w:rFonts w:ascii="Times New Roman" w:hAnsi="Times New Roman" w:cs="Times New Roman"/>
        </w:rPr>
        <w:t xml:space="preserve"> или </w:t>
      </w:r>
      <w:proofErr w:type="spellStart"/>
      <w:r w:rsidRPr="00123012">
        <w:rPr>
          <w:rFonts w:ascii="Times New Roman" w:hAnsi="Times New Roman" w:cs="Times New Roman"/>
        </w:rPr>
        <w:t>безрегрессное</w:t>
      </w:r>
      <w:proofErr w:type="spellEnd"/>
      <w:r w:rsidRPr="00123012">
        <w:rPr>
          <w:rFonts w:ascii="Times New Roman" w:hAnsi="Times New Roman" w:cs="Times New Roman"/>
        </w:rPr>
        <w:t>);</w:t>
      </w:r>
    </w:p>
    <w:p w:rsidR="00123012" w:rsidRPr="00123012" w:rsidRDefault="00123012" w:rsidP="0012301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местонахождение дебитора.</w:t>
      </w:r>
    </w:p>
    <w:p w:rsidR="006E0D23" w:rsidRPr="00123012" w:rsidRDefault="006E0D23" w:rsidP="00123012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23012">
        <w:rPr>
          <w:rFonts w:ascii="Times New Roman" w:hAnsi="Times New Roman" w:cs="Times New Roman"/>
          <w:b/>
        </w:rPr>
        <w:t>Какие структурные элементы включает в себя плата за лизинг?</w:t>
      </w:r>
    </w:p>
    <w:p w:rsidR="006A0F32" w:rsidRPr="006A0F32" w:rsidRDefault="006A0F32" w:rsidP="006A0F3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A0F32">
        <w:rPr>
          <w:rFonts w:ascii="Times New Roman" w:hAnsi="Times New Roman" w:cs="Times New Roman"/>
        </w:rPr>
        <w:t>величина амортизационных отчислений на полное восстановление, причитающихся лизингодателю в текущем году;</w:t>
      </w:r>
    </w:p>
    <w:p w:rsidR="006A0F32" w:rsidRPr="006A0F32" w:rsidRDefault="006A0F32" w:rsidP="006A0F3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A0F32">
        <w:rPr>
          <w:rFonts w:ascii="Times New Roman" w:hAnsi="Times New Roman" w:cs="Times New Roman"/>
        </w:rPr>
        <w:t>плата за используемые кредитные ресурсы лизингодателем на приобретение имущества – объекта договора лизинга;</w:t>
      </w:r>
    </w:p>
    <w:p w:rsidR="006A0F32" w:rsidRPr="006A0F32" w:rsidRDefault="006A0F32" w:rsidP="006A0F3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A0F32">
        <w:rPr>
          <w:rFonts w:ascii="Times New Roman" w:hAnsi="Times New Roman" w:cs="Times New Roman"/>
        </w:rPr>
        <w:t>комиссионное вознаграждение лизингодателю за предоставление имущества по договору лизинга;</w:t>
      </w:r>
    </w:p>
    <w:p w:rsidR="006A0F32" w:rsidRPr="006A0F32" w:rsidRDefault="006A0F32" w:rsidP="006A0F3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A0F32">
        <w:rPr>
          <w:rFonts w:ascii="Times New Roman" w:hAnsi="Times New Roman" w:cs="Times New Roman"/>
        </w:rPr>
        <w:t>плата лизингодателю за дополнительные услуги, предусмотренные договором лизинга;</w:t>
      </w:r>
    </w:p>
    <w:p w:rsidR="00123012" w:rsidRPr="00123012" w:rsidRDefault="006A0F32" w:rsidP="006A0F3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6A0F32">
        <w:rPr>
          <w:rFonts w:ascii="Times New Roman" w:hAnsi="Times New Roman" w:cs="Times New Roman"/>
        </w:rPr>
        <w:t>налог на добавленную стоимость, уплачиваемый лизингополучателем по услугам лизингодателя.</w:t>
      </w:r>
    </w:p>
    <w:p w:rsidR="006E0D23" w:rsidRPr="00123012" w:rsidRDefault="006E0D23" w:rsidP="00123012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23012">
        <w:rPr>
          <w:rFonts w:ascii="Times New Roman" w:hAnsi="Times New Roman" w:cs="Times New Roman"/>
          <w:b/>
        </w:rPr>
        <w:t xml:space="preserve">В чем заключается сущность коммерческого кредитования? Каково отличие коммерческого кредита </w:t>
      </w:r>
      <w:proofErr w:type="gramStart"/>
      <w:r w:rsidRPr="00123012">
        <w:rPr>
          <w:rFonts w:ascii="Times New Roman" w:hAnsi="Times New Roman" w:cs="Times New Roman"/>
          <w:b/>
        </w:rPr>
        <w:t>от</w:t>
      </w:r>
      <w:proofErr w:type="gramEnd"/>
      <w:r w:rsidRPr="00123012">
        <w:rPr>
          <w:rFonts w:ascii="Times New Roman" w:hAnsi="Times New Roman" w:cs="Times New Roman"/>
          <w:b/>
        </w:rPr>
        <w:t xml:space="preserve"> банковского?</w:t>
      </w:r>
    </w:p>
    <w:p w:rsidR="00123012" w:rsidRDefault="00123012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123012">
        <w:rPr>
          <w:rFonts w:ascii="Times New Roman" w:hAnsi="Times New Roman" w:cs="Times New Roman"/>
        </w:rPr>
        <w:t>Коммерческий кредит есть форма взаимного финансирования (кредитования) организаций (предприятий). Представляет собой особый порядок оплаты, обязательство из договоров на продажу товаров, предоставление услуг, выполнение работ и т.д.</w:t>
      </w:r>
    </w:p>
    <w:p w:rsidR="00FB17AA" w:rsidRPr="00FB17AA" w:rsidRDefault="00FB17AA" w:rsidP="00FB17A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Банковский кредит может быть выдан банковской организацией физическому или юридическому лицу с определённой целью, в то время как коммерческий кредит выдаётся одному юридическому лицу другим юридическим лицом.</w:t>
      </w:r>
    </w:p>
    <w:p w:rsidR="00FB17AA" w:rsidRPr="00FB17AA" w:rsidRDefault="00FB17AA" w:rsidP="00FB17A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Если банковский кредит уместно рассматривать как документально оформленный заём, то есть единовременно предоставляемую денежную сумму, — то коммерческий кредит существует скорее как ссуда, то есть как совокупность определённых дополнительных условий совершения сделки.</w:t>
      </w:r>
    </w:p>
    <w:p w:rsidR="00123012" w:rsidRPr="00123012" w:rsidRDefault="00FB17AA" w:rsidP="00FB17A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Исходя из предыдущего отличия, можно с уверенностью заключить, что если банковский кредит выдаётся как денежная сумма для совершения какой-либо финансовой операции, приобретения чего-либо и так далее, — то коммерческий кредит актуален лишь в рамках определённой сделки, заключаемой между двумя организациями.</w:t>
      </w:r>
    </w:p>
    <w:p w:rsidR="00123012" w:rsidRPr="00123012" w:rsidRDefault="00123012" w:rsidP="00123012">
      <w:pPr>
        <w:pStyle w:val="a3"/>
        <w:ind w:left="284"/>
        <w:jc w:val="both"/>
        <w:rPr>
          <w:rFonts w:ascii="Times New Roman" w:hAnsi="Times New Roman" w:cs="Times New Roman"/>
        </w:rPr>
      </w:pPr>
    </w:p>
    <w:p w:rsidR="00C7425D" w:rsidRPr="00123012" w:rsidRDefault="006E0D23" w:rsidP="00123012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23012">
        <w:rPr>
          <w:rFonts w:ascii="Times New Roman" w:hAnsi="Times New Roman" w:cs="Times New Roman"/>
          <w:b/>
        </w:rPr>
        <w:t>Каковы порядок и условия предоставления инвестиционного налогового кредита?</w:t>
      </w:r>
    </w:p>
    <w:p w:rsidR="00123012" w:rsidRDefault="00FB17AA" w:rsidP="00123012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Инвестиционный налоговый кредит – представляет собой такое изменение срока уплаты налога, при котором организации при наличии оснований, указанных в ст. 67 НК РФ, предоставляется возможность в течение определенного срока и в определенных пределах уменьшить свои платежи по налогу с последующей поэтапной уплатой суммы кредита и начисленных процентов.</w:t>
      </w:r>
    </w:p>
    <w:p w:rsidR="00FB17AA" w:rsidRDefault="00FB17AA" w:rsidP="00123012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У инвестиционного налогового кредита есть еще одна важная особенность – это обязательное начисление процентов на сумму кредита независимо от того, по какому основанию он предоставлен. Процентную ставку по кредиту устанавливает налоговый орган. При этом ее размер должен быть в диапазоне</w:t>
      </w:r>
      <w:proofErr w:type="gramStart"/>
      <w:r w:rsidRPr="00FB17AA">
        <w:rPr>
          <w:rFonts w:ascii="Times New Roman" w:hAnsi="Times New Roman" w:cs="Times New Roman"/>
        </w:rPr>
        <w:t xml:space="preserve"> [ ½  - ¾ ] </w:t>
      </w:r>
      <w:proofErr w:type="gramEnd"/>
      <w:r w:rsidRPr="00FB17AA">
        <w:rPr>
          <w:rFonts w:ascii="Times New Roman" w:hAnsi="Times New Roman" w:cs="Times New Roman"/>
        </w:rPr>
        <w:t>ставки рефинансирования Банка России.</w:t>
      </w:r>
    </w:p>
    <w:p w:rsidR="00FB17AA" w:rsidRPr="00FB17AA" w:rsidRDefault="00FB17AA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Инвестиционный налоговый кредит может быть предоставлен только по одному из федеральных налогов - налогу на прибыль (доход) организации, а также по региональным и местным налогам (здесь ограничений не существует) на срок от одного  года  до пяти лет на следующие нужды:</w:t>
      </w:r>
    </w:p>
    <w:p w:rsidR="00FB17AA" w:rsidRPr="00FB17AA" w:rsidRDefault="00FB17AA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 xml:space="preserve">1) проведение организацией научно-исследовательских или опытно-конструкторских работ либо технического перевооружения собственного производства, в том числе направленного на создание рабочих мест для инвалидов или защиту окружающей среды от загрязнения промышленными отходами. По данному основанию кредит предоставляется в размере 30% </w:t>
      </w:r>
      <w:r w:rsidRPr="00FB17AA">
        <w:rPr>
          <w:rFonts w:ascii="Times New Roman" w:hAnsi="Times New Roman" w:cs="Times New Roman"/>
        </w:rPr>
        <w:lastRenderedPageBreak/>
        <w:t>стоимости приобретенного заинтересованной организацией оборудования, используемого исключительно для перечисленных целей;</w:t>
      </w:r>
    </w:p>
    <w:p w:rsidR="00FB17AA" w:rsidRPr="00FB17AA" w:rsidRDefault="00FB17AA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2) осуществление организацией внедренческой или инновационной деятельности, в том числе создание новых или совершенствование применяемых технологий, создание новых видов сырья или материалов;</w:t>
      </w:r>
    </w:p>
    <w:p w:rsidR="00FB17AA" w:rsidRPr="00FB17AA" w:rsidRDefault="00FB17AA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3) выполнение организацией особо важного заказа по социально-экономическому развитию региона или предоставление ею особо важных услуг населению.</w:t>
      </w:r>
    </w:p>
    <w:p w:rsidR="00FB17AA" w:rsidRPr="00123012" w:rsidRDefault="00FB17AA" w:rsidP="00FB17AA">
      <w:pPr>
        <w:pStyle w:val="a3"/>
        <w:ind w:left="284"/>
        <w:jc w:val="both"/>
        <w:rPr>
          <w:rFonts w:ascii="Times New Roman" w:hAnsi="Times New Roman" w:cs="Times New Roman"/>
        </w:rPr>
      </w:pPr>
      <w:r w:rsidRPr="00FB17AA">
        <w:rPr>
          <w:rFonts w:ascii="Times New Roman" w:hAnsi="Times New Roman" w:cs="Times New Roman"/>
        </w:rPr>
        <w:t>В первом случае инвестиционный налоговый кредит предоставляется на сумму кредита, составляющую 30% стоимости приобретенного заинтересованной организацией оборудования, используемого исключительно для перечисленных в п. 1 целей. В последних двух случаях сумма кредита определяется соглашением между заинтересованным предприятием (лицом) и уполномоченным органом.</w:t>
      </w:r>
    </w:p>
    <w:sectPr w:rsidR="00FB17AA" w:rsidRPr="00123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06BB"/>
    <w:multiLevelType w:val="hybridMultilevel"/>
    <w:tmpl w:val="AE7677C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C4156C8"/>
    <w:multiLevelType w:val="hybridMultilevel"/>
    <w:tmpl w:val="EC2E4FE0"/>
    <w:lvl w:ilvl="0" w:tplc="C1DEFE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A8375B"/>
    <w:multiLevelType w:val="hybridMultilevel"/>
    <w:tmpl w:val="A9CC86E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A51047E"/>
    <w:multiLevelType w:val="hybridMultilevel"/>
    <w:tmpl w:val="AB8EF628"/>
    <w:lvl w:ilvl="0" w:tplc="48EE20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EE64068"/>
    <w:multiLevelType w:val="hybridMultilevel"/>
    <w:tmpl w:val="36106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DE0C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16209"/>
    <w:multiLevelType w:val="hybridMultilevel"/>
    <w:tmpl w:val="B50C2DB0"/>
    <w:lvl w:ilvl="0" w:tplc="8CAC1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F3138B0"/>
    <w:multiLevelType w:val="hybridMultilevel"/>
    <w:tmpl w:val="DFC4F12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1A63210"/>
    <w:multiLevelType w:val="hybridMultilevel"/>
    <w:tmpl w:val="743C8F8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8BE5196"/>
    <w:multiLevelType w:val="hybridMultilevel"/>
    <w:tmpl w:val="726AAC7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23"/>
    <w:rsid w:val="000F7CDD"/>
    <w:rsid w:val="00123012"/>
    <w:rsid w:val="002E7C7A"/>
    <w:rsid w:val="00493FAA"/>
    <w:rsid w:val="006A0F32"/>
    <w:rsid w:val="006E0D23"/>
    <w:rsid w:val="00857B72"/>
    <w:rsid w:val="00962B16"/>
    <w:rsid w:val="00D53C36"/>
    <w:rsid w:val="00EE4E5F"/>
    <w:rsid w:val="00F45ACB"/>
    <w:rsid w:val="00F95F58"/>
    <w:rsid w:val="00FB17AA"/>
    <w:rsid w:val="00FF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2</cp:revision>
  <dcterms:created xsi:type="dcterms:W3CDTF">2016-08-16T11:55:00Z</dcterms:created>
  <dcterms:modified xsi:type="dcterms:W3CDTF">2016-08-16T13:58:00Z</dcterms:modified>
</cp:coreProperties>
</file>